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0A7357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MCH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 w:rsidR="008651A6"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A07B3F">
        <w:rPr>
          <w:rFonts w:ascii="Arial" w:hAnsi="Arial" w:cs="Arial"/>
          <w:b/>
          <w:sz w:val="20"/>
          <w:szCs w:val="20"/>
        </w:rPr>
        <w:t>separate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 w:rsidR="008651A6">
        <w:rPr>
          <w:rFonts w:ascii="Arial" w:hAnsi="Arial" w:cs="Arial"/>
          <w:b/>
          <w:sz w:val="20"/>
          <w:szCs w:val="20"/>
        </w:rPr>
        <w:t xml:space="preserve">year on year </w:t>
      </w:r>
    </w:p>
    <w:p w:rsidR="00B65C88" w:rsidRDefault="00E36A48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3B67">
        <w:rPr>
          <w:rFonts w:ascii="Arial" w:hAnsi="Arial" w:cs="Arial"/>
          <w:sz w:val="20"/>
          <w:szCs w:val="20"/>
        </w:rPr>
        <w:t>12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0A7357" w:rsidRPr="000A7357">
        <w:rPr>
          <w:rFonts w:ascii="Arial" w:hAnsi="Arial" w:cs="Arial"/>
          <w:sz w:val="20"/>
          <w:szCs w:val="20"/>
        </w:rPr>
        <w:t>Masan Consumer Corporation</w:t>
      </w:r>
      <w:r w:rsidR="000A7357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>difference of over 10% in the</w:t>
      </w:r>
      <w:r w:rsidR="00A07B3F">
        <w:rPr>
          <w:rFonts w:ascii="Arial" w:hAnsi="Arial" w:cs="Arial"/>
          <w:sz w:val="20"/>
          <w:szCs w:val="20"/>
        </w:rPr>
        <w:t xml:space="preserve"> separate</w:t>
      </w:r>
      <w:r w:rsidR="008651A6" w:rsidRPr="008651A6">
        <w:rPr>
          <w:rFonts w:ascii="Arial" w:hAnsi="Arial" w:cs="Arial"/>
          <w:sz w:val="20"/>
          <w:szCs w:val="20"/>
        </w:rPr>
        <w:t xml:space="preserve"> 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0A7357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357">
        <w:rPr>
          <w:rFonts w:ascii="Arial" w:hAnsi="Arial" w:cs="Arial"/>
          <w:sz w:val="20"/>
          <w:szCs w:val="20"/>
        </w:rPr>
        <w:t xml:space="preserve">Profit after corporate income tax </w:t>
      </w:r>
      <w:r>
        <w:rPr>
          <w:rFonts w:ascii="Arial" w:hAnsi="Arial" w:cs="Arial"/>
          <w:sz w:val="20"/>
          <w:szCs w:val="20"/>
        </w:rPr>
        <w:t xml:space="preserve">in the </w:t>
      </w:r>
      <w:r w:rsidR="00A07B3F">
        <w:rPr>
          <w:rFonts w:ascii="Arial" w:hAnsi="Arial" w:cs="Arial"/>
          <w:sz w:val="20"/>
          <w:szCs w:val="20"/>
        </w:rPr>
        <w:t>separate</w:t>
      </w:r>
      <w:r>
        <w:rPr>
          <w:rFonts w:ascii="Arial" w:hAnsi="Arial" w:cs="Arial"/>
          <w:sz w:val="20"/>
          <w:szCs w:val="20"/>
        </w:rPr>
        <w:t xml:space="preserve"> financial statement of </w:t>
      </w:r>
      <w:r w:rsidRPr="000A7357">
        <w:rPr>
          <w:rFonts w:ascii="Arial" w:hAnsi="Arial" w:cs="Arial"/>
          <w:sz w:val="20"/>
          <w:szCs w:val="20"/>
        </w:rPr>
        <w:t xml:space="preserve">the first </w:t>
      </w:r>
      <w:r w:rsidR="00A07B3F">
        <w:rPr>
          <w:rFonts w:ascii="Arial" w:hAnsi="Arial" w:cs="Arial"/>
          <w:sz w:val="20"/>
          <w:szCs w:val="20"/>
        </w:rPr>
        <w:t>6 months of 2020 increased by 87</w:t>
      </w:r>
      <w:r w:rsidRPr="000A7357">
        <w:rPr>
          <w:rFonts w:ascii="Arial" w:hAnsi="Arial" w:cs="Arial"/>
          <w:sz w:val="20"/>
          <w:szCs w:val="20"/>
        </w:rPr>
        <w:t xml:space="preserve">% compared to the same period last year, mainly due to fluctuations </w:t>
      </w:r>
      <w:r>
        <w:rPr>
          <w:rFonts w:ascii="Arial" w:hAnsi="Arial" w:cs="Arial"/>
          <w:sz w:val="20"/>
          <w:szCs w:val="20"/>
        </w:rPr>
        <w:t>of the following indicators</w:t>
      </w:r>
      <w:r w:rsidRPr="000A735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139"/>
        <w:gridCol w:w="2042"/>
        <w:gridCol w:w="1885"/>
        <w:gridCol w:w="1885"/>
        <w:gridCol w:w="749"/>
      </w:tblGrid>
      <w:tr w:rsidR="000A7357" w:rsidTr="00A07B3F">
        <w:tc>
          <w:tcPr>
            <w:tcW w:w="1876" w:type="dxa"/>
            <w:vMerge w:val="restart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139" w:type="dxa"/>
            <w:vMerge w:val="restart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042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2634" w:type="dxa"/>
            <w:gridSpan w:val="2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0A7357" w:rsidTr="00A07B3F">
        <w:tc>
          <w:tcPr>
            <w:tcW w:w="1876" w:type="dxa"/>
            <w:vMerge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74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0A7357" w:rsidTr="00A07B3F">
        <w:tc>
          <w:tcPr>
            <w:tcW w:w="187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13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2" w:type="dxa"/>
          </w:tcPr>
          <w:p w:rsidR="000A7357" w:rsidRDefault="00A07B3F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9,856,933,201,193</w:t>
            </w:r>
          </w:p>
        </w:tc>
        <w:tc>
          <w:tcPr>
            <w:tcW w:w="1885" w:type="dxa"/>
          </w:tcPr>
          <w:p w:rsidR="000A7357" w:rsidRDefault="00A07B3F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8,029,809,343,870</w:t>
            </w:r>
          </w:p>
        </w:tc>
        <w:tc>
          <w:tcPr>
            <w:tcW w:w="1885" w:type="dxa"/>
          </w:tcPr>
          <w:p w:rsidR="000A7357" w:rsidRDefault="00A07B3F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1,827,123,857,323</w:t>
            </w:r>
          </w:p>
        </w:tc>
        <w:tc>
          <w:tcPr>
            <w:tcW w:w="749" w:type="dxa"/>
          </w:tcPr>
          <w:p w:rsidR="000A7357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0A7357" w:rsidTr="00A07B3F">
        <w:tc>
          <w:tcPr>
            <w:tcW w:w="187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(*)</w:t>
            </w:r>
          </w:p>
        </w:tc>
        <w:tc>
          <w:tcPr>
            <w:tcW w:w="113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2" w:type="dxa"/>
          </w:tcPr>
          <w:p w:rsidR="000A7357" w:rsidRDefault="00A07B3F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123,317,824,868</w:t>
            </w:r>
          </w:p>
        </w:tc>
        <w:tc>
          <w:tcPr>
            <w:tcW w:w="1885" w:type="dxa"/>
          </w:tcPr>
          <w:p w:rsidR="000A7357" w:rsidRDefault="00A07B3F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(134,509,132,645)</w:t>
            </w:r>
          </w:p>
        </w:tc>
        <w:tc>
          <w:tcPr>
            <w:tcW w:w="1885" w:type="dxa"/>
          </w:tcPr>
          <w:p w:rsidR="000A7357" w:rsidRDefault="00A07B3F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257,826,957,513</w:t>
            </w:r>
          </w:p>
        </w:tc>
        <w:tc>
          <w:tcPr>
            <w:tcW w:w="749" w:type="dxa"/>
          </w:tcPr>
          <w:p w:rsidR="000A7357" w:rsidRDefault="00A07B3F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192%</w:t>
            </w:r>
          </w:p>
        </w:tc>
      </w:tr>
      <w:tr w:rsidR="00A07B3F" w:rsidTr="00A07B3F">
        <w:tc>
          <w:tcPr>
            <w:tcW w:w="1876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 (ii)</w:t>
            </w:r>
          </w:p>
        </w:tc>
        <w:tc>
          <w:tcPr>
            <w:tcW w:w="1139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042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195,166,826,849</w:t>
            </w:r>
          </w:p>
        </w:tc>
        <w:tc>
          <w:tcPr>
            <w:tcW w:w="1885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279,807,244,671</w:t>
            </w:r>
          </w:p>
        </w:tc>
        <w:tc>
          <w:tcPr>
            <w:tcW w:w="1885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(84,640,417,822</w:t>
            </w:r>
            <w:r w:rsidRPr="00A07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9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-30%</w:t>
            </w:r>
          </w:p>
        </w:tc>
      </w:tr>
      <w:tr w:rsidR="00A07B3F" w:rsidTr="00A07B3F">
        <w:tc>
          <w:tcPr>
            <w:tcW w:w="1876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139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254,315,771,987</w:t>
            </w:r>
          </w:p>
        </w:tc>
        <w:tc>
          <w:tcPr>
            <w:tcW w:w="1885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136,353,792,932</w:t>
            </w:r>
          </w:p>
        </w:tc>
        <w:tc>
          <w:tcPr>
            <w:tcW w:w="1885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117,961,979,055</w:t>
            </w:r>
          </w:p>
        </w:tc>
        <w:tc>
          <w:tcPr>
            <w:tcW w:w="749" w:type="dxa"/>
          </w:tcPr>
          <w:p w:rsidR="00A07B3F" w:rsidRDefault="00A07B3F" w:rsidP="00A07B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3F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</w:tbl>
    <w:p w:rsidR="00A07B3F" w:rsidRDefault="00A07B3F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357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357">
        <w:rPr>
          <w:rFonts w:ascii="Arial" w:hAnsi="Arial" w:cs="Arial"/>
          <w:sz w:val="20"/>
          <w:szCs w:val="20"/>
        </w:rPr>
        <w:t>(*) Net profit from production and busine</w:t>
      </w:r>
      <w:r>
        <w:rPr>
          <w:rFonts w:ascii="Arial" w:hAnsi="Arial" w:cs="Arial"/>
          <w:sz w:val="20"/>
          <w:szCs w:val="20"/>
        </w:rPr>
        <w:t>ss activities before tax</w:t>
      </w:r>
      <w:r w:rsidRPr="000A7357">
        <w:rPr>
          <w:rFonts w:ascii="Arial" w:hAnsi="Arial" w:cs="Arial"/>
          <w:sz w:val="20"/>
          <w:szCs w:val="20"/>
        </w:rPr>
        <w:t xml:space="preserve"> is calculated by </w:t>
      </w:r>
      <w:r>
        <w:rPr>
          <w:rFonts w:ascii="Arial" w:hAnsi="Arial" w:cs="Arial"/>
          <w:sz w:val="20"/>
          <w:szCs w:val="20"/>
        </w:rPr>
        <w:t>g</w:t>
      </w:r>
      <w:r w:rsidRPr="000A7357">
        <w:rPr>
          <w:rFonts w:ascii="Arial" w:hAnsi="Arial" w:cs="Arial"/>
          <w:sz w:val="20"/>
          <w:szCs w:val="20"/>
        </w:rPr>
        <w:t xml:space="preserve">ross profit (-) minus </w:t>
      </w:r>
      <w:r>
        <w:rPr>
          <w:rFonts w:ascii="Arial" w:hAnsi="Arial" w:cs="Arial"/>
          <w:sz w:val="20"/>
          <w:szCs w:val="20"/>
        </w:rPr>
        <w:t xml:space="preserve">total sales expense and administrative expense </w:t>
      </w:r>
    </w:p>
    <w:p w:rsidR="00EC5E6E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The Corporation’s</w:t>
      </w:r>
      <w:r w:rsidRPr="000A7357">
        <w:rPr>
          <w:rFonts w:ascii="Arial" w:hAnsi="Arial" w:cs="Arial"/>
          <w:sz w:val="20"/>
          <w:szCs w:val="20"/>
        </w:rPr>
        <w:t xml:space="preserve"> net revenue in the first 6 months of 2020 reached VND </w:t>
      </w:r>
      <w:r w:rsidR="00A07B3F">
        <w:rPr>
          <w:rFonts w:ascii="Arial" w:hAnsi="Arial" w:cs="Arial"/>
          <w:sz w:val="20"/>
          <w:szCs w:val="20"/>
        </w:rPr>
        <w:t xml:space="preserve">9,857 billion, an increase of 23%, </w:t>
      </w:r>
      <w:r w:rsidRPr="000A7357">
        <w:rPr>
          <w:rFonts w:ascii="Arial" w:hAnsi="Arial" w:cs="Arial"/>
          <w:sz w:val="20"/>
          <w:szCs w:val="20"/>
        </w:rPr>
        <w:t xml:space="preserve">contributing to the </w:t>
      </w:r>
      <w:r>
        <w:rPr>
          <w:rFonts w:ascii="Arial" w:hAnsi="Arial" w:cs="Arial"/>
          <w:sz w:val="20"/>
          <w:szCs w:val="20"/>
        </w:rPr>
        <w:t>profit before tax (</w:t>
      </w:r>
      <w:r w:rsidRPr="000A7357">
        <w:rPr>
          <w:rFonts w:ascii="Arial" w:hAnsi="Arial" w:cs="Arial"/>
          <w:sz w:val="20"/>
          <w:szCs w:val="20"/>
        </w:rPr>
        <w:t xml:space="preserve">excluding net income from financial activities) of the </w:t>
      </w:r>
      <w:r>
        <w:rPr>
          <w:rFonts w:ascii="Arial" w:hAnsi="Arial" w:cs="Arial"/>
          <w:sz w:val="20"/>
          <w:szCs w:val="20"/>
        </w:rPr>
        <w:t xml:space="preserve">Corporation, </w:t>
      </w:r>
      <w:r w:rsidR="00A07B3F">
        <w:rPr>
          <w:rFonts w:ascii="Arial" w:hAnsi="Arial" w:cs="Arial"/>
          <w:sz w:val="20"/>
          <w:szCs w:val="20"/>
        </w:rPr>
        <w:t>1.92 times</w:t>
      </w:r>
      <w:r w:rsidRPr="000A7357">
        <w:rPr>
          <w:rFonts w:ascii="Arial" w:hAnsi="Arial" w:cs="Arial"/>
          <w:sz w:val="20"/>
          <w:szCs w:val="20"/>
        </w:rPr>
        <w:t xml:space="preserve"> higher t</w:t>
      </w:r>
      <w:r w:rsidR="00EC5E6E">
        <w:rPr>
          <w:rFonts w:ascii="Arial" w:hAnsi="Arial" w:cs="Arial"/>
          <w:sz w:val="20"/>
          <w:szCs w:val="20"/>
        </w:rPr>
        <w:t xml:space="preserve">han the </w:t>
      </w:r>
      <w:r w:rsidR="00A07B3F">
        <w:rPr>
          <w:rFonts w:ascii="Arial" w:hAnsi="Arial" w:cs="Arial"/>
          <w:sz w:val="20"/>
          <w:szCs w:val="20"/>
        </w:rPr>
        <w:t>first 6 months of 2019</w:t>
      </w:r>
    </w:p>
    <w:p w:rsidR="000A7357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357">
        <w:rPr>
          <w:rFonts w:ascii="Arial" w:hAnsi="Arial" w:cs="Arial"/>
          <w:sz w:val="20"/>
          <w:szCs w:val="20"/>
        </w:rPr>
        <w:t>(ii) Net financial income</w:t>
      </w:r>
      <w:r w:rsidR="00A07B3F">
        <w:rPr>
          <w:rFonts w:ascii="Arial" w:hAnsi="Arial" w:cs="Arial"/>
          <w:sz w:val="20"/>
          <w:szCs w:val="20"/>
        </w:rPr>
        <w:t xml:space="preserve"> in the first 6 months of 2020</w:t>
      </w:r>
      <w:r w:rsidRPr="000A7357">
        <w:rPr>
          <w:rFonts w:ascii="Arial" w:hAnsi="Arial" w:cs="Arial"/>
          <w:sz w:val="20"/>
          <w:szCs w:val="20"/>
        </w:rPr>
        <w:t xml:space="preserve"> </w:t>
      </w:r>
      <w:r w:rsidR="00A07B3F">
        <w:rPr>
          <w:rFonts w:ascii="Arial" w:hAnsi="Arial" w:cs="Arial"/>
          <w:sz w:val="20"/>
          <w:szCs w:val="20"/>
        </w:rPr>
        <w:t>de</w:t>
      </w:r>
      <w:r w:rsidRPr="000A7357">
        <w:rPr>
          <w:rFonts w:ascii="Arial" w:hAnsi="Arial" w:cs="Arial"/>
          <w:sz w:val="20"/>
          <w:szCs w:val="20"/>
        </w:rPr>
        <w:t>creased by</w:t>
      </w:r>
      <w:r w:rsidR="00A07B3F">
        <w:rPr>
          <w:rFonts w:ascii="Arial" w:hAnsi="Arial" w:cs="Arial"/>
          <w:sz w:val="20"/>
          <w:szCs w:val="20"/>
        </w:rPr>
        <w:t xml:space="preserve"> 30</w:t>
      </w:r>
      <w:r w:rsidRPr="000A7357">
        <w:rPr>
          <w:rFonts w:ascii="Arial" w:hAnsi="Arial" w:cs="Arial"/>
          <w:sz w:val="20"/>
          <w:szCs w:val="20"/>
        </w:rPr>
        <w:t xml:space="preserve">% </w:t>
      </w:r>
      <w:r w:rsidR="00EC5E6E">
        <w:rPr>
          <w:rFonts w:ascii="Arial" w:hAnsi="Arial" w:cs="Arial"/>
          <w:sz w:val="20"/>
          <w:szCs w:val="20"/>
        </w:rPr>
        <w:t>year on year</w:t>
      </w:r>
      <w:r w:rsidRPr="000A7357">
        <w:rPr>
          <w:rFonts w:ascii="Arial" w:hAnsi="Arial" w:cs="Arial"/>
          <w:sz w:val="20"/>
          <w:szCs w:val="20"/>
        </w:rPr>
        <w:t xml:space="preserve"> </w:t>
      </w:r>
      <w:r w:rsidR="00A07B3F">
        <w:rPr>
          <w:rFonts w:ascii="Arial" w:hAnsi="Arial" w:cs="Arial"/>
          <w:sz w:val="20"/>
          <w:szCs w:val="20"/>
        </w:rPr>
        <w:t>mainly due to decrease in income of the investment activities compared to the first 6 months of 2019</w:t>
      </w:r>
      <w:bookmarkStart w:id="0" w:name="_GoBack"/>
      <w:bookmarkEnd w:id="0"/>
    </w:p>
    <w:sectPr w:rsidR="000A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357"/>
    <w:rsid w:val="000A79D8"/>
    <w:rsid w:val="000E15ED"/>
    <w:rsid w:val="00125C9D"/>
    <w:rsid w:val="001654BA"/>
    <w:rsid w:val="0020606D"/>
    <w:rsid w:val="00244C92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B3B67"/>
    <w:rsid w:val="004C790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F7DB7"/>
    <w:rsid w:val="008078B6"/>
    <w:rsid w:val="008651A6"/>
    <w:rsid w:val="0088081B"/>
    <w:rsid w:val="008854CF"/>
    <w:rsid w:val="00887C3A"/>
    <w:rsid w:val="008A1E16"/>
    <w:rsid w:val="00981C95"/>
    <w:rsid w:val="00A07B3F"/>
    <w:rsid w:val="00A62855"/>
    <w:rsid w:val="00A81EB3"/>
    <w:rsid w:val="00AA01BA"/>
    <w:rsid w:val="00AF67BE"/>
    <w:rsid w:val="00B40E78"/>
    <w:rsid w:val="00B65C88"/>
    <w:rsid w:val="00BC16A6"/>
    <w:rsid w:val="00C324E9"/>
    <w:rsid w:val="00C72FFB"/>
    <w:rsid w:val="00CA6F06"/>
    <w:rsid w:val="00CC15D8"/>
    <w:rsid w:val="00D400F8"/>
    <w:rsid w:val="00DA5E81"/>
    <w:rsid w:val="00DF63C6"/>
    <w:rsid w:val="00E11EBD"/>
    <w:rsid w:val="00E25017"/>
    <w:rsid w:val="00E36A48"/>
    <w:rsid w:val="00EC5E6E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4EE1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92</cp:revision>
  <dcterms:created xsi:type="dcterms:W3CDTF">2019-10-16T10:03:00Z</dcterms:created>
  <dcterms:modified xsi:type="dcterms:W3CDTF">2020-08-19T01:38:00Z</dcterms:modified>
</cp:coreProperties>
</file>